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1A" w:rsidRPr="00E323AA" w:rsidRDefault="00310A1A" w:rsidP="00310A1A">
      <w:pPr>
        <w:pStyle w:val="Titre1"/>
        <w:jc w:val="center"/>
      </w:pPr>
      <w:bookmarkStart w:id="0" w:name="_Toc494778682"/>
      <w:bookmarkStart w:id="1" w:name="_Toc499607136"/>
      <w:bookmarkStart w:id="2" w:name="_Toc499608189"/>
      <w:bookmarkStart w:id="3" w:name="_Toc438529596"/>
      <w:bookmarkStart w:id="4" w:name="_Toc438725752"/>
      <w:bookmarkStart w:id="5" w:name="_Toc438817747"/>
      <w:bookmarkStart w:id="6" w:name="_Toc438954441"/>
      <w:bookmarkStart w:id="7" w:name="_Toc461939615"/>
      <w:bookmarkStart w:id="8" w:name="_Toc190767379"/>
      <w:bookmarkStart w:id="9" w:name="_Ref315177542"/>
      <w:r w:rsidRPr="00E323AA">
        <w:t>PREMIÈRE PARTIE</w:t>
      </w:r>
      <w:bookmarkStart w:id="10" w:name="_Toc494778683"/>
      <w:bookmarkStart w:id="11" w:name="_Toc499607137"/>
      <w:bookmarkStart w:id="12" w:name="_Toc499608190"/>
      <w:bookmarkEnd w:id="0"/>
      <w:bookmarkEnd w:id="1"/>
      <w:bookmarkEnd w:id="2"/>
      <w:bookmarkEnd w:id="9"/>
    </w:p>
    <w:p w:rsidR="00310A1A" w:rsidRPr="00E323AA" w:rsidRDefault="00310A1A" w:rsidP="00310A1A">
      <w:pPr>
        <w:pStyle w:val="Titre1"/>
        <w:jc w:val="center"/>
      </w:pPr>
      <w:bookmarkStart w:id="13" w:name="_Ref315177481"/>
      <w:r w:rsidRPr="00E323AA">
        <w:t>Procédures</w:t>
      </w:r>
      <w:bookmarkEnd w:id="3"/>
      <w:bookmarkEnd w:id="4"/>
      <w:bookmarkEnd w:id="5"/>
      <w:bookmarkEnd w:id="6"/>
      <w:bookmarkEnd w:id="7"/>
      <w:r>
        <w:t xml:space="preserve"> d’Appel d’O</w:t>
      </w:r>
      <w:r w:rsidRPr="00E323AA">
        <w:t>ffres</w:t>
      </w:r>
      <w:bookmarkEnd w:id="8"/>
      <w:bookmarkEnd w:id="10"/>
      <w:bookmarkEnd w:id="11"/>
      <w:bookmarkEnd w:id="12"/>
      <w:bookmarkEnd w:id="13"/>
    </w:p>
    <w:p w:rsidR="00310A1A" w:rsidRPr="00E323AA" w:rsidRDefault="00310A1A" w:rsidP="00310A1A">
      <w:pPr>
        <w:pStyle w:val="Titre1"/>
        <w:jc w:val="center"/>
      </w:pPr>
      <w:bookmarkStart w:id="14" w:name="_Toc190666458"/>
      <w:bookmarkStart w:id="15" w:name="_Toc190767380"/>
      <w:bookmarkStart w:id="16" w:name="_Ref315177727"/>
      <w:r w:rsidRPr="00E323AA">
        <w:t>Section 0. Avis d’Appel d’offres (AA0)</w:t>
      </w:r>
      <w:bookmarkEnd w:id="14"/>
      <w:bookmarkEnd w:id="15"/>
      <w:bookmarkEnd w:id="16"/>
    </w:p>
    <w:p w:rsidR="00310A1A" w:rsidRPr="00A373AF" w:rsidRDefault="00310A1A" w:rsidP="00310A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A1A" w:rsidRPr="00A373AF" w:rsidRDefault="00310A1A" w:rsidP="00310A1A">
      <w:pPr>
        <w:jc w:val="center"/>
        <w:rPr>
          <w:rFonts w:ascii="Times New Roman" w:hAnsi="Times New Roman"/>
          <w:b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</w:rPr>
        <w:t>Avis d’Appel d’Offres – Cas sans pré qualification</w:t>
      </w:r>
    </w:p>
    <w:p w:rsidR="00310A1A" w:rsidRDefault="00310A1A" w:rsidP="00310A1A">
      <w:pPr>
        <w:pStyle w:val="BankNormal"/>
        <w:jc w:val="center"/>
        <w:rPr>
          <w:b/>
          <w:i/>
          <w:iCs/>
          <w:szCs w:val="24"/>
          <w:lang w:val="fr-FR"/>
        </w:rPr>
      </w:pPr>
      <w:r>
        <w:rPr>
          <w:b/>
          <w:i/>
          <w:iCs/>
          <w:szCs w:val="24"/>
          <w:lang w:val="fr-FR"/>
        </w:rPr>
        <w:t>MINISTER DE L’EMPLOI, DE LA FORMATION PROFESSIONNELLE ET DES TECHNOLOGIES DE L’INFORMATION ET DE LA COMMUNICATION.</w:t>
      </w:r>
    </w:p>
    <w:p w:rsidR="00310A1A" w:rsidRPr="004233A7" w:rsidRDefault="00310A1A" w:rsidP="00310A1A">
      <w:pPr>
        <w:pStyle w:val="BankNormal"/>
        <w:jc w:val="center"/>
        <w:rPr>
          <w:b/>
          <w:i/>
          <w:iCs/>
          <w:sz w:val="22"/>
          <w:szCs w:val="22"/>
          <w:lang w:val="fr-FR"/>
        </w:rPr>
      </w:pPr>
      <w:r w:rsidRPr="004233A7">
        <w:rPr>
          <w:b/>
          <w:i/>
          <w:iCs/>
          <w:sz w:val="22"/>
          <w:szCs w:val="22"/>
          <w:lang w:val="fr-FR"/>
        </w:rPr>
        <w:t>INSTITUT NATIONAL DE PROMOTION DE LA FORMATION TECHNIQUE ET PROFESSIONNELLE</w:t>
      </w:r>
      <w:r w:rsidRPr="004233A7">
        <w:rPr>
          <w:b/>
          <w:bCs/>
          <w:i/>
          <w:iCs/>
          <w:sz w:val="22"/>
          <w:szCs w:val="22"/>
          <w:lang w:val="fr-FR"/>
        </w:rPr>
        <w:t xml:space="preserve"> </w:t>
      </w:r>
    </w:p>
    <w:p w:rsidR="00310A1A" w:rsidRPr="00C23839" w:rsidRDefault="00310A1A" w:rsidP="00310A1A">
      <w:pPr>
        <w:jc w:val="center"/>
        <w:rPr>
          <w:rFonts w:ascii="Times New Roman" w:hAnsi="Times New Roman"/>
          <w:b/>
          <w:szCs w:val="24"/>
        </w:rPr>
      </w:pPr>
      <w:r w:rsidRPr="00C23839">
        <w:rPr>
          <w:rFonts w:ascii="Times New Roman" w:hAnsi="Times New Roman"/>
          <w:b/>
          <w:szCs w:val="24"/>
        </w:rPr>
        <w:t>AVIS D’APPEL D’OFFRES INTERNATIONAL AAOI</w:t>
      </w:r>
      <w:r>
        <w:rPr>
          <w:rFonts w:ascii="Times New Roman" w:hAnsi="Times New Roman"/>
          <w:b/>
          <w:szCs w:val="24"/>
        </w:rPr>
        <w:t xml:space="preserve"> N° 01</w:t>
      </w:r>
      <w:r w:rsidRPr="00C23839">
        <w:rPr>
          <w:rFonts w:ascii="Times New Roman" w:hAnsi="Times New Roman"/>
          <w:b/>
          <w:szCs w:val="24"/>
        </w:rPr>
        <w:t xml:space="preserve">/INAP-FTP/PRESM/2014 </w:t>
      </w:r>
    </w:p>
    <w:p w:rsidR="00310A1A" w:rsidRPr="00BF1D73" w:rsidRDefault="00310A1A" w:rsidP="00310A1A">
      <w:pPr>
        <w:jc w:val="both"/>
        <w:rPr>
          <w:rFonts w:ascii="Times New Roman" w:hAnsi="Times New Roman"/>
          <w:sz w:val="24"/>
          <w:szCs w:val="24"/>
        </w:rPr>
      </w:pPr>
      <w:r w:rsidRPr="000C7685">
        <w:rPr>
          <w:b/>
          <w:bCs/>
          <w:sz w:val="24"/>
          <w:szCs w:val="24"/>
        </w:rPr>
        <w:t>1</w:t>
      </w:r>
      <w:r w:rsidRPr="000C7685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3E4BAF">
        <w:rPr>
          <w:rFonts w:ascii="Times New Roman" w:hAnsi="Times New Roman"/>
          <w:bCs/>
          <w:sz w:val="24"/>
          <w:szCs w:val="24"/>
        </w:rPr>
        <w:t>L’Institut National de Promotion de la Formation Technique et Professionnelle, a obtenu dans le cadre de son budget un fonds de l’Ambassade des Etats unis d’Amérique à Nouakchott, afin de financer le Projet d’Appui à l’Ecole Nationale des Travaux Publics d’Aleg (PA – ENTP Aleg) et a l’intention d’utiliser une partie de ce fonds pour effectuer des</w:t>
      </w:r>
      <w:r w:rsidRPr="008E656E">
        <w:rPr>
          <w:bCs/>
          <w:sz w:val="24"/>
          <w:szCs w:val="24"/>
        </w:rPr>
        <w:t xml:space="preserve"> paiements</w:t>
      </w:r>
      <w:r w:rsidRPr="00D53E2E">
        <w:rPr>
          <w:b/>
          <w:sz w:val="24"/>
          <w:szCs w:val="24"/>
        </w:rPr>
        <w:t xml:space="preserve"> </w:t>
      </w:r>
      <w:r w:rsidRPr="008E656E">
        <w:rPr>
          <w:bCs/>
          <w:sz w:val="24"/>
          <w:szCs w:val="24"/>
        </w:rPr>
        <w:t>au titre du</w:t>
      </w:r>
      <w:r w:rsidRPr="00D53E2E">
        <w:rPr>
          <w:b/>
          <w:sz w:val="24"/>
          <w:szCs w:val="24"/>
        </w:rPr>
        <w:t xml:space="preserve"> </w:t>
      </w:r>
      <w:r w:rsidRPr="008E656E">
        <w:rPr>
          <w:rFonts w:ascii="Times New Roman" w:hAnsi="Times New Roman"/>
          <w:sz w:val="24"/>
          <w:szCs w:val="24"/>
        </w:rPr>
        <w:t>Marché pour l</w:t>
      </w:r>
      <w:r>
        <w:rPr>
          <w:rFonts w:ascii="Times New Roman" w:hAnsi="Times New Roman"/>
          <w:sz w:val="24"/>
          <w:szCs w:val="24"/>
        </w:rPr>
        <w:t xml:space="preserve">’acquisition d’équipements </w:t>
      </w:r>
      <w:r w:rsidRPr="008E656E">
        <w:rPr>
          <w:rFonts w:ascii="Times New Roman" w:hAnsi="Times New Roman"/>
          <w:sz w:val="24"/>
          <w:szCs w:val="24"/>
        </w:rPr>
        <w:t xml:space="preserve">au profit de l’Ecole Nationale des Travaux Publics d’Aleg. </w:t>
      </w:r>
    </w:p>
    <w:p w:rsidR="00310A1A" w:rsidRDefault="00310A1A" w:rsidP="00310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685">
        <w:rPr>
          <w:b/>
          <w:bCs/>
          <w:sz w:val="24"/>
          <w:szCs w:val="24"/>
        </w:rPr>
        <w:t>2</w:t>
      </w:r>
      <w:r w:rsidRPr="000C7685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Pr="008E656E">
        <w:rPr>
          <w:rFonts w:ascii="Times New Roman" w:hAnsi="Times New Roman"/>
          <w:sz w:val="24"/>
          <w:szCs w:val="24"/>
        </w:rPr>
        <w:t xml:space="preserve">L’Institut National de Promotion de la Formation Technique et Professionnelle sollicite des offres sous pli fermé de la part de candidats éligibles et répondant aux qualifications requises pour fournir </w:t>
      </w:r>
      <w:r>
        <w:rPr>
          <w:rFonts w:ascii="Times New Roman" w:hAnsi="Times New Roman"/>
          <w:sz w:val="24"/>
          <w:szCs w:val="24"/>
        </w:rPr>
        <w:t xml:space="preserve"> en cinq lots distincts :</w:t>
      </w: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 1 : Equipements de visioconférence : délai de livraison : 60 jours au maximum ; </w:t>
      </w:r>
    </w:p>
    <w:p w:rsidR="00310A1A" w:rsidRPr="00E6663A" w:rsidRDefault="00310A1A" w:rsidP="00310A1A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2 :</w:t>
      </w:r>
      <w:r w:rsidRPr="003F3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Equipements internet : délai de livraison : 60 jours</w:t>
      </w:r>
      <w:r w:rsidRPr="005F7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maximum ;</w:t>
      </w:r>
    </w:p>
    <w:p w:rsidR="00310A1A" w:rsidRDefault="00310A1A" w:rsidP="00310A1A">
      <w:pPr>
        <w:pStyle w:val="Paragraphedelist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 3 :</w:t>
      </w:r>
      <w:r w:rsidRPr="00E02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Equipements informatiques : </w:t>
      </w:r>
      <w:r w:rsidRPr="00E6663A">
        <w:rPr>
          <w:rFonts w:ascii="Times New Roman" w:hAnsi="Times New Roman"/>
          <w:sz w:val="24"/>
          <w:szCs w:val="24"/>
        </w:rPr>
        <w:t xml:space="preserve">délai </w:t>
      </w:r>
      <w:r>
        <w:rPr>
          <w:rFonts w:ascii="Times New Roman" w:hAnsi="Times New Roman"/>
          <w:sz w:val="24"/>
          <w:szCs w:val="24"/>
        </w:rPr>
        <w:t>de livraison : 6</w:t>
      </w:r>
      <w:r w:rsidRPr="00E6663A">
        <w:rPr>
          <w:rFonts w:ascii="Times New Roman" w:hAnsi="Times New Roman"/>
          <w:sz w:val="24"/>
          <w:szCs w:val="24"/>
        </w:rPr>
        <w:t>0 jours</w:t>
      </w:r>
      <w:r w:rsidRPr="005F7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maximum</w:t>
      </w:r>
      <w:r w:rsidRPr="00E6663A">
        <w:rPr>
          <w:rFonts w:ascii="Times New Roman" w:hAnsi="Times New Roman"/>
          <w:sz w:val="24"/>
          <w:szCs w:val="24"/>
        </w:rPr>
        <w:t>;</w:t>
      </w:r>
    </w:p>
    <w:p w:rsidR="00310A1A" w:rsidRPr="004233A7" w:rsidRDefault="00310A1A" w:rsidP="0031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4</w:t>
      </w:r>
      <w:r w:rsidRPr="004233A7">
        <w:rPr>
          <w:rFonts w:ascii="Times New Roman" w:hAnsi="Times New Roman"/>
          <w:sz w:val="24"/>
          <w:szCs w:val="24"/>
        </w:rPr>
        <w:t> : Equipements courants forts : délai de livraison 60 jours au maximum.</w:t>
      </w:r>
    </w:p>
    <w:p w:rsidR="00310A1A" w:rsidRPr="004233A7" w:rsidRDefault="00310A1A" w:rsidP="0031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5 : Mobiliers de bureau : délai de livraison : 60 jours</w:t>
      </w:r>
      <w:r w:rsidRPr="005F7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maximum;</w:t>
      </w:r>
    </w:p>
    <w:p w:rsidR="00310A1A" w:rsidRDefault="00310A1A" w:rsidP="0031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A1A" w:rsidRPr="00A373AF" w:rsidRDefault="00310A1A" w:rsidP="0031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68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B64471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</w:t>
      </w:r>
      <w:r w:rsidRPr="00B64471">
        <w:rPr>
          <w:rFonts w:ascii="Times New Roman" w:hAnsi="Times New Roman"/>
          <w:i/>
          <w:iCs/>
          <w:sz w:val="24"/>
          <w:szCs w:val="24"/>
        </w:rPr>
        <w:t>s,</w:t>
      </w:r>
      <w:r w:rsidRPr="00B64471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310A1A" w:rsidRDefault="00310A1A" w:rsidP="00310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Les candidats intéressés peuvent obtenir des informations auprès de </w:t>
      </w:r>
      <w:r w:rsidRPr="00B64471">
        <w:rPr>
          <w:rFonts w:ascii="Times New Roman" w:hAnsi="Times New Roman"/>
          <w:sz w:val="24"/>
          <w:szCs w:val="24"/>
        </w:rPr>
        <w:t>L’Institut National de Promotion de la Formation Technique et Professionnelle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3AF">
        <w:rPr>
          <w:rFonts w:ascii="Times New Roman" w:hAnsi="Times New Roman"/>
          <w:sz w:val="24"/>
          <w:szCs w:val="24"/>
        </w:rPr>
        <w:t xml:space="preserve"> et prendre connaissance des documents d’Appel d’offres </w:t>
      </w:r>
      <w:r>
        <w:rPr>
          <w:rFonts w:ascii="Times New Roman" w:hAnsi="Times New Roman"/>
          <w:sz w:val="24"/>
          <w:szCs w:val="24"/>
        </w:rPr>
        <w:t xml:space="preserve">tous les jours ouvrables de 8h00 à 16h00 </w:t>
      </w:r>
      <w:r w:rsidRPr="00A373AF">
        <w:rPr>
          <w:rFonts w:ascii="Times New Roman" w:hAnsi="Times New Roman"/>
          <w:sz w:val="24"/>
          <w:szCs w:val="24"/>
        </w:rPr>
        <w:t>à l’adresse mentionnée ci-après</w:t>
      </w:r>
      <w:r>
        <w:rPr>
          <w:rFonts w:ascii="Times New Roman" w:hAnsi="Times New Roman"/>
          <w:sz w:val="24"/>
          <w:szCs w:val="24"/>
        </w:rPr>
        <w:t xml:space="preserve"> : </w:t>
      </w:r>
      <w:r w:rsidRPr="003E4BAF">
        <w:rPr>
          <w:rFonts w:ascii="Times New Roman" w:hAnsi="Times New Roman"/>
          <w:i/>
          <w:iCs/>
          <w:sz w:val="24"/>
          <w:szCs w:val="24"/>
        </w:rPr>
        <w:t xml:space="preserve">INAP – FTP BP: 2818; SOCOGIM KSAR N° 202; </w:t>
      </w:r>
      <w:r>
        <w:rPr>
          <w:rFonts w:ascii="Times New Roman" w:hAnsi="Times New Roman"/>
          <w:i/>
          <w:iCs/>
          <w:sz w:val="24"/>
          <w:szCs w:val="24"/>
        </w:rPr>
        <w:t xml:space="preserve">tel (B) : (222) 45 29 43 18 ; 45 29 69 15 ; (P) : 22 27 01 70 ; 46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46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08 76 ; E-mail : </w:t>
      </w:r>
      <w:hyperlink r:id="rId5" w:history="1">
        <w:r w:rsidRPr="00A26CDC">
          <w:rPr>
            <w:rStyle w:val="Lienhypertexte"/>
            <w:rFonts w:ascii="Times New Roman" w:hAnsi="Times New Roman"/>
            <w:i/>
            <w:iCs/>
            <w:sz w:val="24"/>
            <w:szCs w:val="24"/>
          </w:rPr>
          <w:t>dsaidouthilel@yahoo.fr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hyperlink r:id="rId6" w:history="1">
        <w:r w:rsidRPr="00A26CDC">
          <w:rPr>
            <w:rStyle w:val="Lienhypertexte"/>
            <w:rFonts w:ascii="Times New Roman" w:hAnsi="Times New Roman"/>
            <w:i/>
            <w:iCs/>
            <w:sz w:val="24"/>
            <w:szCs w:val="24"/>
          </w:rPr>
          <w:t>mmeyih2005@yahoo.fr</w:t>
        </w:r>
      </w:hyperlink>
      <w:r>
        <w:rPr>
          <w:rFonts w:ascii="Times New Roman" w:hAnsi="Times New Roman"/>
          <w:i/>
          <w:iCs/>
          <w:sz w:val="24"/>
          <w:szCs w:val="24"/>
        </w:rPr>
        <w:t>.</w:t>
      </w:r>
      <w:r w:rsidRPr="00A373AF">
        <w:rPr>
          <w:rFonts w:ascii="Times New Roman" w:hAnsi="Times New Roman"/>
          <w:sz w:val="24"/>
          <w:szCs w:val="24"/>
        </w:rPr>
        <w:t xml:space="preserve"> </w:t>
      </w:r>
    </w:p>
    <w:p w:rsidR="00310A1A" w:rsidRDefault="00310A1A" w:rsidP="00310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lastRenderedPageBreak/>
        <w:t>Les candidats intéressés peuvent obtenir un dossier d’Appel d’offres complet en formulant une demande écrite à l’adresse mentionnée ci-après</w:t>
      </w:r>
      <w:r>
        <w:rPr>
          <w:rFonts w:ascii="Times New Roman" w:hAnsi="Times New Roman"/>
          <w:sz w:val="24"/>
          <w:szCs w:val="24"/>
        </w:rPr>
        <w:t> :</w:t>
      </w:r>
    </w:p>
    <w:p w:rsidR="00310A1A" w:rsidRDefault="00310A1A" w:rsidP="00310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Secrétariat de l’Institut National de Promotion de la Formation Technique et Professionnelle </w:t>
      </w:r>
      <w:r>
        <w:rPr>
          <w:rFonts w:ascii="Times New Roman" w:hAnsi="Times New Roman"/>
          <w:i/>
          <w:iCs/>
          <w:sz w:val="24"/>
          <w:szCs w:val="24"/>
        </w:rPr>
        <w:t xml:space="preserve">BP : 2818 ; SOCOGIM KSAR N° 202 ; tel (B) : (222) 45 29 43 18 ; 45 29 69 15 ; (P) : 22 27 01 70 ; 46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46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08 76 ; </w:t>
      </w:r>
      <w:r w:rsidRPr="00A3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E-mail : </w:t>
      </w:r>
      <w:hyperlink r:id="rId7" w:history="1">
        <w:r w:rsidRPr="00A26CDC">
          <w:rPr>
            <w:rStyle w:val="Lienhypertexte"/>
            <w:rFonts w:ascii="Times New Roman" w:hAnsi="Times New Roman"/>
            <w:i/>
            <w:iCs/>
            <w:sz w:val="24"/>
            <w:szCs w:val="24"/>
          </w:rPr>
          <w:t>dsaidouthilel@yahoo.fr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hyperlink r:id="rId8" w:history="1">
        <w:r w:rsidRPr="00A26CDC">
          <w:rPr>
            <w:rStyle w:val="Lienhypertexte"/>
            <w:rFonts w:ascii="Times New Roman" w:hAnsi="Times New Roman"/>
            <w:i/>
            <w:iCs/>
            <w:sz w:val="24"/>
            <w:szCs w:val="24"/>
          </w:rPr>
          <w:t>mmeyih2005@yahoo.fr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E297C">
        <w:rPr>
          <w:rFonts w:ascii="Times New Roman" w:hAnsi="Times New Roman"/>
          <w:sz w:val="24"/>
          <w:szCs w:val="24"/>
        </w:rPr>
        <w:t xml:space="preserve">contre un paiement non remboursable au </w:t>
      </w:r>
      <w:r w:rsidRPr="00BC3EDB">
        <w:rPr>
          <w:rFonts w:ascii="Times New Roman" w:hAnsi="Times New Roman"/>
          <w:sz w:val="24"/>
          <w:szCs w:val="24"/>
        </w:rPr>
        <w:t>Trésor Public exclusivement</w:t>
      </w:r>
      <w:r w:rsidRPr="003E297C">
        <w:rPr>
          <w:rFonts w:ascii="Times New Roman" w:hAnsi="Times New Roman"/>
          <w:sz w:val="24"/>
          <w:szCs w:val="24"/>
        </w:rPr>
        <w:t xml:space="preserve">, </w:t>
      </w:r>
      <w:r w:rsidRPr="003E297C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4B5323">
        <w:rPr>
          <w:rFonts w:ascii="Times New Roman" w:hAnsi="Times New Roman"/>
          <w:b/>
          <w:bCs/>
          <w:sz w:val="24"/>
          <w:szCs w:val="24"/>
        </w:rPr>
        <w:t xml:space="preserve">20.000 </w:t>
      </w:r>
      <w:r w:rsidRPr="004B5323">
        <w:rPr>
          <w:rFonts w:ascii="Times New Roman" w:hAnsi="Times New Roman"/>
          <w:b/>
          <w:bCs/>
          <w:i/>
          <w:iCs/>
          <w:sz w:val="24"/>
          <w:szCs w:val="24"/>
        </w:rPr>
        <w:t>Ouguiyas</w:t>
      </w:r>
      <w:r w:rsidRPr="003E297C">
        <w:rPr>
          <w:rFonts w:ascii="Times New Roman" w:hAnsi="Times New Roman"/>
          <w:i/>
          <w:iCs/>
          <w:sz w:val="24"/>
          <w:szCs w:val="24"/>
        </w:rPr>
        <w:t>.</w:t>
      </w:r>
      <w:r w:rsidRPr="00B12031">
        <w:rPr>
          <w:rFonts w:ascii="Times New Roman" w:hAnsi="Times New Roman"/>
          <w:sz w:val="24"/>
          <w:szCs w:val="24"/>
        </w:rPr>
        <w:t xml:space="preserve"> </w:t>
      </w:r>
    </w:p>
    <w:p w:rsidR="00310A1A" w:rsidRPr="00A373AF" w:rsidRDefault="00310A1A" w:rsidP="00310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031">
        <w:rPr>
          <w:rFonts w:ascii="Times New Roman" w:hAnsi="Times New Roman"/>
          <w:sz w:val="24"/>
          <w:szCs w:val="24"/>
        </w:rPr>
        <w:t>Le document d’Appel d’offres sera adressé par courrier postal ou déposé directement à l’adresse indiquée au point 4 ci –dessous</w:t>
      </w:r>
      <w:r>
        <w:rPr>
          <w:rFonts w:ascii="Times New Roman" w:hAnsi="Times New Roman"/>
          <w:sz w:val="24"/>
          <w:szCs w:val="24"/>
        </w:rPr>
        <w:t>.</w:t>
      </w:r>
    </w:p>
    <w:p w:rsidR="00310A1A" w:rsidRDefault="00310A1A" w:rsidP="00310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D7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5C71BB">
        <w:rPr>
          <w:rFonts w:ascii="Times New Roman" w:hAnsi="Times New Roman"/>
          <w:sz w:val="24"/>
          <w:szCs w:val="24"/>
        </w:rPr>
        <w:t>Les offres devront être soumises à l’adresse ci-après :</w:t>
      </w:r>
    </w:p>
    <w:p w:rsidR="00310A1A" w:rsidRDefault="00310A1A" w:rsidP="00310A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Secrétariat de la Commission de Passation des Marchés Publics des Secteurs Sociaux, immeuble </w:t>
      </w:r>
      <w:proofErr w:type="spellStart"/>
      <w:r>
        <w:rPr>
          <w:rFonts w:ascii="Times New Roman" w:hAnsi="Times New Roman"/>
          <w:sz w:val="24"/>
          <w:szCs w:val="24"/>
        </w:rPr>
        <w:t>Mouna</w:t>
      </w:r>
      <w:proofErr w:type="spellEnd"/>
      <w:r>
        <w:rPr>
          <w:rFonts w:ascii="Times New Roman" w:hAnsi="Times New Roman"/>
          <w:sz w:val="24"/>
          <w:szCs w:val="24"/>
        </w:rPr>
        <w:t xml:space="preserve">, avenue </w:t>
      </w:r>
      <w:proofErr w:type="spellStart"/>
      <w:r>
        <w:rPr>
          <w:rFonts w:ascii="Times New Roman" w:hAnsi="Times New Roman"/>
          <w:sz w:val="24"/>
          <w:szCs w:val="24"/>
        </w:rPr>
        <w:t>Moctar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Ould</w:t>
      </w:r>
      <w:proofErr w:type="spellEnd"/>
      <w:r>
        <w:rPr>
          <w:rFonts w:ascii="Times New Roman" w:hAnsi="Times New Roman"/>
          <w:sz w:val="24"/>
          <w:szCs w:val="24"/>
        </w:rPr>
        <w:t xml:space="preserve"> Daddah, 1</w:t>
      </w:r>
      <w:r w:rsidRPr="00F435DD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étage, tel : 45 24 25 84, au plus tard le </w:t>
      </w:r>
      <w:r w:rsidRPr="00A037F8">
        <w:rPr>
          <w:rFonts w:ascii="Times New Roman" w:hAnsi="Times New Roman"/>
          <w:b/>
          <w:bCs/>
          <w:sz w:val="24"/>
          <w:szCs w:val="24"/>
          <w:u w:val="single"/>
        </w:rPr>
        <w:t xml:space="preserve">Mercredi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16 Juillet </w:t>
      </w:r>
      <w:r w:rsidRPr="00A037F8">
        <w:rPr>
          <w:rFonts w:ascii="Times New Roman" w:hAnsi="Times New Roman"/>
          <w:b/>
          <w:bCs/>
          <w:sz w:val="24"/>
          <w:szCs w:val="24"/>
          <w:u w:val="single"/>
        </w:rPr>
        <w:t>2014 à 12 heurs TU</w:t>
      </w:r>
      <w:r w:rsidRPr="00A037F8">
        <w:rPr>
          <w:rFonts w:ascii="Times New Roman" w:hAnsi="Times New Roman"/>
          <w:sz w:val="24"/>
          <w:szCs w:val="24"/>
        </w:rPr>
        <w:t>.</w:t>
      </w:r>
    </w:p>
    <w:p w:rsidR="00310A1A" w:rsidRPr="003C1015" w:rsidRDefault="00310A1A" w:rsidP="00310A1A">
      <w:pPr>
        <w:tabs>
          <w:tab w:val="left" w:pos="602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71BB">
        <w:rPr>
          <w:rFonts w:ascii="Times New Roman" w:hAnsi="Times New Roman"/>
          <w:b/>
          <w:bCs/>
          <w:sz w:val="24"/>
          <w:szCs w:val="24"/>
        </w:rPr>
        <w:t>5</w:t>
      </w:r>
      <w:r w:rsidRPr="005C71BB">
        <w:rPr>
          <w:rFonts w:ascii="Times New Roman" w:hAnsi="Times New Roman"/>
          <w:b/>
          <w:sz w:val="24"/>
          <w:szCs w:val="24"/>
        </w:rPr>
        <w:t xml:space="preserve">. </w:t>
      </w:r>
      <w:r w:rsidRPr="003C1015">
        <w:rPr>
          <w:rFonts w:ascii="Times New Roman" w:hAnsi="Times New Roman"/>
          <w:bCs/>
          <w:sz w:val="24"/>
          <w:szCs w:val="24"/>
        </w:rPr>
        <w:t>Les offres remises en retard ne seront pas acceptées.</w:t>
      </w:r>
      <w:r w:rsidRPr="003C1015">
        <w:rPr>
          <w:rFonts w:ascii="Times New Roman" w:hAnsi="Times New Roman"/>
          <w:bCs/>
          <w:sz w:val="24"/>
          <w:szCs w:val="24"/>
        </w:rPr>
        <w:tab/>
      </w:r>
    </w:p>
    <w:p w:rsidR="00310A1A" w:rsidRPr="003C1015" w:rsidRDefault="00310A1A" w:rsidP="00310A1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71BB">
        <w:rPr>
          <w:rFonts w:ascii="Times New Roman" w:hAnsi="Times New Roman"/>
          <w:b/>
          <w:bCs/>
          <w:sz w:val="24"/>
          <w:szCs w:val="24"/>
        </w:rPr>
        <w:t>6</w:t>
      </w:r>
      <w:r w:rsidRPr="003C1015">
        <w:rPr>
          <w:rFonts w:ascii="Times New Roman" w:hAnsi="Times New Roman"/>
          <w:bCs/>
          <w:sz w:val="24"/>
          <w:szCs w:val="24"/>
        </w:rPr>
        <w:t xml:space="preserve">. Les offres comportant des mentions </w:t>
      </w:r>
      <w:r>
        <w:rPr>
          <w:rFonts w:ascii="Times New Roman" w:hAnsi="Times New Roman"/>
          <w:bCs/>
          <w:sz w:val="24"/>
          <w:szCs w:val="24"/>
        </w:rPr>
        <w:t xml:space="preserve">d’identification </w:t>
      </w:r>
      <w:r w:rsidRPr="003C1015">
        <w:rPr>
          <w:rFonts w:ascii="Times New Roman" w:hAnsi="Times New Roman"/>
          <w:bCs/>
          <w:sz w:val="24"/>
          <w:szCs w:val="24"/>
        </w:rPr>
        <w:t>interdites seront rejetées.</w:t>
      </w:r>
    </w:p>
    <w:p w:rsidR="00310A1A" w:rsidRPr="003C1015" w:rsidRDefault="00310A1A" w:rsidP="00310A1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E06">
        <w:rPr>
          <w:rFonts w:ascii="Times New Roman" w:hAnsi="Times New Roman"/>
          <w:b/>
          <w:bCs/>
          <w:sz w:val="24"/>
          <w:szCs w:val="24"/>
        </w:rPr>
        <w:t>7</w:t>
      </w:r>
      <w:r w:rsidRPr="005C71BB">
        <w:rPr>
          <w:rFonts w:ascii="Times New Roman" w:hAnsi="Times New Roman"/>
          <w:b/>
          <w:bCs/>
          <w:sz w:val="24"/>
          <w:szCs w:val="24"/>
        </w:rPr>
        <w:t>.</w:t>
      </w:r>
      <w:r w:rsidRPr="003C1015">
        <w:rPr>
          <w:rFonts w:ascii="Times New Roman" w:hAnsi="Times New Roman"/>
          <w:bCs/>
          <w:sz w:val="24"/>
          <w:szCs w:val="24"/>
        </w:rPr>
        <w:t xml:space="preserve"> Les offres seront ouvertes en présence des soumissionnaires ou de leurs représentants présents à l’adresse indiquée au point 4 ci-dessus.</w:t>
      </w:r>
    </w:p>
    <w:p w:rsidR="00310A1A" w:rsidRDefault="00310A1A" w:rsidP="00310A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3C1015">
        <w:rPr>
          <w:rFonts w:ascii="Times New Roman" w:hAnsi="Times New Roman"/>
          <w:bCs/>
          <w:sz w:val="24"/>
          <w:szCs w:val="24"/>
        </w:rPr>
        <w:t xml:space="preserve">. Les offres doivent comprendre </w:t>
      </w:r>
      <w:r w:rsidRPr="003C1015">
        <w:rPr>
          <w:rFonts w:ascii="Times New Roman" w:hAnsi="Times New Roman"/>
          <w:bCs/>
          <w:iCs/>
          <w:sz w:val="24"/>
          <w:szCs w:val="24"/>
        </w:rPr>
        <w:t>une garantie de soumission</w:t>
      </w:r>
      <w:r>
        <w:rPr>
          <w:rFonts w:ascii="Times New Roman" w:hAnsi="Times New Roman"/>
          <w:bCs/>
          <w:iCs/>
          <w:sz w:val="24"/>
          <w:szCs w:val="24"/>
        </w:rPr>
        <w:t xml:space="preserve"> valide pendant 120 jours à compter de la date limite de dépôt et d’ouverture des offres et </w:t>
      </w:r>
      <w:r w:rsidRPr="003C1015">
        <w:rPr>
          <w:rFonts w:ascii="Times New Roman" w:hAnsi="Times New Roman"/>
          <w:bCs/>
          <w:sz w:val="24"/>
          <w:szCs w:val="24"/>
        </w:rPr>
        <w:t>d’un montant en Ouguiyas de</w:t>
      </w:r>
      <w:r>
        <w:rPr>
          <w:rFonts w:ascii="Times New Roman" w:hAnsi="Times New Roman"/>
          <w:bCs/>
          <w:sz w:val="24"/>
          <w:szCs w:val="24"/>
        </w:rPr>
        <w:t xml:space="preserve"> : </w:t>
      </w: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1 : Equipement de visioconférence : 700 000 UM (Sept cent mille Ouguiyas) ;</w:t>
      </w:r>
    </w:p>
    <w:p w:rsidR="00310A1A" w:rsidRPr="00E6663A" w:rsidRDefault="00310A1A" w:rsidP="00310A1A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2 :</w:t>
      </w:r>
      <w:r w:rsidRPr="003F3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Equipements internet : 300 000 UM (Trois cent mille Ouguiyas);</w:t>
      </w:r>
    </w:p>
    <w:p w:rsidR="00310A1A" w:rsidRDefault="00310A1A" w:rsidP="00310A1A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 3 :</w:t>
      </w:r>
      <w:r w:rsidRPr="00E02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Equipements informatiques :</w:t>
      </w:r>
      <w:r w:rsidRPr="00E6663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500 000 UM (Cinq cent mille Ouguiyas)</w:t>
      </w:r>
      <w:r w:rsidRPr="00E6663A">
        <w:rPr>
          <w:rFonts w:ascii="Times New Roman" w:hAnsi="Times New Roman"/>
          <w:sz w:val="24"/>
          <w:szCs w:val="24"/>
        </w:rPr>
        <w:t>;</w:t>
      </w:r>
    </w:p>
    <w:p w:rsidR="00310A1A" w:rsidRPr="004233A7" w:rsidRDefault="00310A1A" w:rsidP="0031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4 :</w:t>
      </w:r>
      <w:r w:rsidRPr="004233A7">
        <w:rPr>
          <w:rFonts w:ascii="Times New Roman" w:hAnsi="Times New Roman"/>
          <w:sz w:val="24"/>
          <w:szCs w:val="24"/>
        </w:rPr>
        <w:t xml:space="preserve"> Equipements courant</w:t>
      </w:r>
      <w:r>
        <w:rPr>
          <w:rFonts w:ascii="Times New Roman" w:hAnsi="Times New Roman"/>
          <w:sz w:val="24"/>
          <w:szCs w:val="24"/>
        </w:rPr>
        <w:t>s</w:t>
      </w:r>
      <w:r w:rsidRPr="004233A7">
        <w:rPr>
          <w:rFonts w:ascii="Times New Roman" w:hAnsi="Times New Roman"/>
          <w:sz w:val="24"/>
          <w:szCs w:val="24"/>
        </w:rPr>
        <w:t xml:space="preserve"> fort</w:t>
      </w:r>
      <w:r>
        <w:rPr>
          <w:rFonts w:ascii="Times New Roman" w:hAnsi="Times New Roman"/>
          <w:sz w:val="24"/>
          <w:szCs w:val="24"/>
        </w:rPr>
        <w:t>s</w:t>
      </w:r>
      <w:r w:rsidRPr="004233A7">
        <w:rPr>
          <w:rFonts w:ascii="Times New Roman" w:hAnsi="Times New Roman"/>
          <w:sz w:val="24"/>
          <w:szCs w:val="24"/>
        </w:rPr>
        <w:t> : 600 000 UM</w:t>
      </w:r>
      <w:r>
        <w:rPr>
          <w:rFonts w:ascii="Times New Roman" w:hAnsi="Times New Roman"/>
          <w:sz w:val="24"/>
          <w:szCs w:val="24"/>
        </w:rPr>
        <w:t xml:space="preserve"> (Six cent mille Ouguiyas)</w:t>
      </w:r>
      <w:r w:rsidRPr="004233A7">
        <w:rPr>
          <w:rFonts w:ascii="Times New Roman" w:hAnsi="Times New Roman"/>
          <w:sz w:val="24"/>
          <w:szCs w:val="24"/>
        </w:rPr>
        <w:t>.</w:t>
      </w:r>
    </w:p>
    <w:p w:rsidR="00310A1A" w:rsidRPr="007007C7" w:rsidRDefault="00310A1A" w:rsidP="0031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A1A" w:rsidRPr="004233A7" w:rsidRDefault="00310A1A" w:rsidP="00310A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5 : Mobiliers : 1 000 000 UM (Un million d’Ouguiyas).</w:t>
      </w:r>
    </w:p>
    <w:p w:rsidR="00310A1A" w:rsidRDefault="00310A1A" w:rsidP="00310A1A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A1A" w:rsidRDefault="00310A1A" w:rsidP="00310A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20B27">
        <w:rPr>
          <w:rFonts w:ascii="Times New Roman" w:hAnsi="Times New Roman"/>
          <w:b/>
          <w:sz w:val="24"/>
          <w:szCs w:val="24"/>
        </w:rPr>
        <w:t xml:space="preserve">. </w:t>
      </w:r>
      <w:r w:rsidRPr="00276E06">
        <w:rPr>
          <w:rFonts w:ascii="Times New Roman" w:hAnsi="Times New Roman"/>
          <w:bCs/>
          <w:sz w:val="24"/>
          <w:szCs w:val="24"/>
        </w:rPr>
        <w:t>Les offres doivent être présentées en Hors Taxes + Crédit d’impôt. Une offre fiscale doit</w:t>
      </w:r>
      <w:r>
        <w:rPr>
          <w:rFonts w:ascii="Times New Roman" w:hAnsi="Times New Roman"/>
          <w:bCs/>
          <w:iCs/>
          <w:sz w:val="24"/>
          <w:szCs w:val="24"/>
        </w:rPr>
        <w:t xml:space="preserve"> être présentée.</w:t>
      </w:r>
    </w:p>
    <w:p w:rsidR="00310A1A" w:rsidRPr="003C1015" w:rsidRDefault="00310A1A" w:rsidP="00310A1A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1BB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5C71BB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3C1015">
        <w:rPr>
          <w:rFonts w:ascii="Times New Roman" w:hAnsi="Times New Roman"/>
          <w:bCs/>
          <w:iCs/>
          <w:sz w:val="24"/>
          <w:szCs w:val="24"/>
        </w:rPr>
        <w:t xml:space="preserve"> Les offres devront demeurer valides pendant une durée de quatre vingt dix (90) jours  à   com</w:t>
      </w:r>
      <w:r>
        <w:rPr>
          <w:rFonts w:ascii="Times New Roman" w:hAnsi="Times New Roman"/>
          <w:bCs/>
          <w:iCs/>
          <w:sz w:val="24"/>
          <w:szCs w:val="24"/>
        </w:rPr>
        <w:t xml:space="preserve">pter de la date limite de dépôt et d’ouverture des offres. </w:t>
      </w:r>
    </w:p>
    <w:p w:rsidR="00310A1A" w:rsidRPr="00D20B27" w:rsidRDefault="00310A1A" w:rsidP="00310A1A">
      <w:pPr>
        <w:spacing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3C1015">
        <w:rPr>
          <w:rFonts w:ascii="Times New Roman" w:hAnsi="Times New Roman"/>
          <w:b/>
          <w:bCs/>
          <w:iCs/>
          <w:sz w:val="24"/>
          <w:szCs w:val="24"/>
        </w:rPr>
        <w:t>Le Directeur de l’INAP-FTP</w:t>
      </w:r>
    </w:p>
    <w:p w:rsidR="006548F6" w:rsidRDefault="006548F6"/>
    <w:sectPr w:rsidR="0065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478A"/>
    <w:multiLevelType w:val="hybridMultilevel"/>
    <w:tmpl w:val="BCB4BEC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69A2DDCC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0A1A"/>
    <w:rsid w:val="00310A1A"/>
    <w:rsid w:val="0065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310A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310A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10A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0A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ankNormal">
    <w:name w:val="BankNormal"/>
    <w:basedOn w:val="Normal"/>
    <w:rsid w:val="00310A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yih2005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aidouthilel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yih2005@yahoo.fr" TargetMode="External"/><Relationship Id="rId5" Type="http://schemas.openxmlformats.org/officeDocument/2006/relationships/hyperlink" Target="mailto:dsaidouthilel@yah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2014-06-08T12:56:00Z</dcterms:created>
  <dcterms:modified xsi:type="dcterms:W3CDTF">2014-06-08T12:57:00Z</dcterms:modified>
</cp:coreProperties>
</file>