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5" w:rsidRPr="00AC2885" w:rsidRDefault="00AC2885" w:rsidP="00AC288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C2885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AC2885" w:rsidRPr="00AC2885" w:rsidRDefault="00AC2885" w:rsidP="00AC28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2885">
        <w:rPr>
          <w:rFonts w:ascii="Times New Roman" w:hAnsi="Times New Roman"/>
          <w:b/>
          <w:bCs/>
          <w:sz w:val="24"/>
          <w:szCs w:val="24"/>
        </w:rPr>
        <w:t>Avis d’Appel d’0ffres International (AAOI) N°05/EM/2015/MS</w:t>
      </w:r>
    </w:p>
    <w:p w:rsidR="00AC2885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 avis d’appel d’offre fait suite à l’Avis Général de Passation des Marchés paru dans le journal Horizons en date du 04/03/2015.</w:t>
      </w:r>
    </w:p>
    <w:p w:rsidR="00AC2885" w:rsidRPr="009C16E8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6E8">
        <w:rPr>
          <w:rFonts w:ascii="Times New Roman" w:hAnsi="Times New Roman"/>
          <w:sz w:val="24"/>
          <w:szCs w:val="24"/>
        </w:rPr>
        <w:t>Le Ministère de la Santé a obtenu dans le cadre de son budget des fonds, afin de financer l’acquisition de</w:t>
      </w:r>
      <w:r>
        <w:rPr>
          <w:rFonts w:ascii="Times New Roman" w:hAnsi="Times New Roman"/>
          <w:sz w:val="24"/>
          <w:szCs w:val="24"/>
        </w:rPr>
        <w:t>s équipements et matériel médicaux au titre de l’initiative de l’accélération de l’atteinte des OMD santé</w:t>
      </w:r>
      <w:r w:rsidRPr="009C16E8">
        <w:rPr>
          <w:rFonts w:ascii="Times New Roman" w:hAnsi="Times New Roman"/>
          <w:sz w:val="24"/>
          <w:szCs w:val="24"/>
        </w:rPr>
        <w:t xml:space="preserve"> et a l’intention d’utiliser une partie de ces fonds pour effectuer des paiements au titre du Marché de </w:t>
      </w:r>
      <w:r w:rsidRPr="00E04B40">
        <w:rPr>
          <w:rFonts w:ascii="Times New Roman" w:hAnsi="Times New Roman"/>
          <w:sz w:val="24"/>
          <w:szCs w:val="24"/>
        </w:rPr>
        <w:t>fourniture  de 210 000 Tests de Diagnostic Rapide du Paludisme destinés aux différentes structures de santé du pays</w:t>
      </w:r>
      <w:r w:rsidRPr="009C16E8">
        <w:rPr>
          <w:rFonts w:ascii="Times New Roman" w:hAnsi="Times New Roman"/>
          <w:sz w:val="24"/>
          <w:szCs w:val="24"/>
        </w:rPr>
        <w:t xml:space="preserve">. </w:t>
      </w:r>
    </w:p>
    <w:p w:rsidR="00AC2885" w:rsidRPr="00545342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iCs/>
          <w:sz w:val="24"/>
          <w:szCs w:val="24"/>
        </w:rPr>
        <w:t>Ministère de la Santé</w:t>
      </w:r>
      <w:r>
        <w:rPr>
          <w:rFonts w:ascii="Times New Roman" w:hAnsi="Times New Roman"/>
          <w:sz w:val="24"/>
          <w:szCs w:val="24"/>
        </w:rPr>
        <w:t xml:space="preserve"> sollicite des offres sous pli fermé de la part de candidats éligibles et répondant aux qualifications requises pour fournir en un seul lot  les équipements précités.</w:t>
      </w:r>
    </w:p>
    <w:p w:rsidR="00AC2885" w:rsidRDefault="00AC2885" w:rsidP="00AC2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6E8">
        <w:rPr>
          <w:rFonts w:ascii="Times New Roman" w:hAnsi="Times New Roman"/>
          <w:sz w:val="24"/>
          <w:szCs w:val="24"/>
        </w:rPr>
        <w:t xml:space="preserve">Le délai de livraison est de trente </w:t>
      </w:r>
      <w:r>
        <w:rPr>
          <w:rFonts w:ascii="Times New Roman" w:hAnsi="Times New Roman"/>
          <w:sz w:val="24"/>
          <w:szCs w:val="24"/>
        </w:rPr>
        <w:t xml:space="preserve">(30) </w:t>
      </w:r>
      <w:r w:rsidRPr="009C16E8">
        <w:rPr>
          <w:rFonts w:ascii="Times New Roman" w:hAnsi="Times New Roman"/>
          <w:sz w:val="24"/>
          <w:szCs w:val="24"/>
        </w:rPr>
        <w:t>jours au maximum  à compter de la date</w:t>
      </w:r>
      <w:r w:rsidRPr="009C16E8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C2885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AC2885" w:rsidRDefault="00AC2885" w:rsidP="00AC2885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rFonts w:ascii="Times New Roman" w:hAnsi="Times New Roman"/>
          <w:b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AC2885" w:rsidRPr="00496A3E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16E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soixante-dix</w:t>
      </w:r>
      <w:r w:rsidRPr="009C16E8">
        <w:rPr>
          <w:rFonts w:ascii="Times New Roman" w:hAnsi="Times New Roman"/>
          <w:sz w:val="24"/>
          <w:szCs w:val="24"/>
        </w:rPr>
        <w:t xml:space="preserve"> mille (</w:t>
      </w:r>
      <w:r>
        <w:rPr>
          <w:rFonts w:ascii="Times New Roman" w:hAnsi="Times New Roman"/>
          <w:iCs/>
          <w:sz w:val="24"/>
          <w:szCs w:val="24"/>
        </w:rPr>
        <w:t>7</w:t>
      </w:r>
      <w:r w:rsidRPr="009C16E8">
        <w:rPr>
          <w:rFonts w:ascii="Times New Roman" w:hAnsi="Times New Roman"/>
          <w:iCs/>
          <w:sz w:val="24"/>
          <w:szCs w:val="24"/>
        </w:rPr>
        <w:t>0.000)</w:t>
      </w:r>
      <w:r>
        <w:rPr>
          <w:rFonts w:ascii="Times New Roman" w:hAnsi="Times New Roman"/>
          <w:iCs/>
          <w:sz w:val="24"/>
          <w:szCs w:val="24"/>
        </w:rPr>
        <w:t xml:space="preserve"> Ouguiyas.</w:t>
      </w:r>
      <w:r w:rsidRPr="00496A3E">
        <w:rPr>
          <w:rFonts w:ascii="Times New Roman" w:hAnsi="Times New Roman"/>
          <w:sz w:val="24"/>
          <w:szCs w:val="24"/>
        </w:rPr>
        <w:t>La méthode de paiement sera par versement direct au trésor public</w:t>
      </w:r>
      <w:r w:rsidRPr="00496A3E">
        <w:rPr>
          <w:rFonts w:ascii="Times New Roman" w:hAnsi="Times New Roman"/>
          <w:iCs/>
          <w:sz w:val="24"/>
          <w:szCs w:val="24"/>
        </w:rPr>
        <w:t xml:space="preserve">. </w:t>
      </w:r>
      <w:r w:rsidRPr="00496A3E">
        <w:rPr>
          <w:rFonts w:ascii="Times New Roman" w:hAnsi="Times New Roman"/>
          <w:sz w:val="24"/>
          <w:szCs w:val="24"/>
        </w:rPr>
        <w:t>Le document d’Appel d’offres sera remis au candidat directement</w:t>
      </w:r>
      <w:r w:rsidRPr="00496A3E">
        <w:rPr>
          <w:rFonts w:ascii="Times New Roman" w:hAnsi="Times New Roman"/>
          <w:iCs/>
          <w:sz w:val="24"/>
          <w:szCs w:val="24"/>
        </w:rPr>
        <w:t>.</w:t>
      </w:r>
    </w:p>
    <w:p w:rsidR="00AC2885" w:rsidRPr="0041392B" w:rsidRDefault="00AC2885" w:rsidP="00AC28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 ce marché : </w:t>
      </w:r>
    </w:p>
    <w:p w:rsidR="00AC2885" w:rsidRPr="00865B53" w:rsidRDefault="00AC2885" w:rsidP="00AC2885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 xml:space="preserve">exécuté 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au cours des cinq dernières années  de façon satisfaisante, deux (02) marchés comparable en volume et nature.</w:t>
      </w:r>
    </w:p>
    <w:p w:rsidR="00AC2885" w:rsidRPr="00F5698B" w:rsidRDefault="00AC2885" w:rsidP="00AC28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  <w:r>
        <w:rPr>
          <w:rFonts w:ascii="Times New Roman" w:hAnsi="Times New Roman"/>
          <w:sz w:val="24"/>
          <w:szCs w:val="24"/>
          <w:lang w:eastAsia="en-US"/>
        </w:rPr>
        <w:t xml:space="preserve"> quarante</w:t>
      </w:r>
      <w:r w:rsidRPr="00F5698B">
        <w:rPr>
          <w:rFonts w:ascii="Times New Roman" w:hAnsi="Times New Roman"/>
          <w:sz w:val="24"/>
          <w:szCs w:val="24"/>
          <w:lang w:eastAsia="en-US"/>
        </w:rPr>
        <w:t xml:space="preserve"> millions (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F5698B">
        <w:rPr>
          <w:rFonts w:ascii="Times New Roman" w:hAnsi="Times New Roman"/>
          <w:sz w:val="24"/>
          <w:szCs w:val="24"/>
          <w:lang w:eastAsia="en-US"/>
        </w:rPr>
        <w:t xml:space="preserve">0.000.000) </w:t>
      </w:r>
      <w:r>
        <w:rPr>
          <w:rFonts w:ascii="Times New Roman" w:hAnsi="Times New Roman"/>
          <w:sz w:val="24"/>
          <w:szCs w:val="24"/>
          <w:lang w:eastAsia="en-US"/>
        </w:rPr>
        <w:t>Ouguiya</w:t>
      </w:r>
    </w:p>
    <w:p w:rsidR="00AC2885" w:rsidRDefault="00AC2885" w:rsidP="00AC288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 xml:space="preserve">au plus tard </w:t>
      </w:r>
      <w:r w:rsidRPr="009C16E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b/>
          <w:iCs/>
          <w:sz w:val="24"/>
          <w:szCs w:val="24"/>
        </w:rPr>
        <w:t>12</w:t>
      </w:r>
      <w:r w:rsidRPr="009C16E8">
        <w:rPr>
          <w:rFonts w:ascii="Times New Roman" w:hAnsi="Times New Roman"/>
          <w:b/>
          <w:iCs/>
          <w:sz w:val="24"/>
          <w:szCs w:val="24"/>
        </w:rPr>
        <w:t>/</w:t>
      </w:r>
      <w:r>
        <w:rPr>
          <w:rFonts w:ascii="Times New Roman" w:hAnsi="Times New Roman"/>
          <w:b/>
          <w:iCs/>
          <w:sz w:val="24"/>
          <w:szCs w:val="24"/>
        </w:rPr>
        <w:t>11</w:t>
      </w:r>
      <w:r w:rsidRPr="009C16E8">
        <w:rPr>
          <w:rFonts w:ascii="Times New Roman" w:hAnsi="Times New Roman"/>
          <w:b/>
          <w:iCs/>
          <w:sz w:val="24"/>
          <w:szCs w:val="24"/>
        </w:rPr>
        <w:t>/2015</w:t>
      </w:r>
      <w:r w:rsidRPr="009C16E8">
        <w:rPr>
          <w:rFonts w:ascii="Times New Roman" w:hAnsi="Times New Roman"/>
          <w:iCs/>
          <w:sz w:val="24"/>
          <w:szCs w:val="24"/>
        </w:rPr>
        <w:t xml:space="preserve"> à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12/11</w:t>
      </w:r>
      <w:r w:rsidRPr="009C16E8">
        <w:rPr>
          <w:rFonts w:ascii="Times New Roman" w:hAnsi="Times New Roman"/>
          <w:iCs/>
          <w:sz w:val="24"/>
          <w:szCs w:val="24"/>
        </w:rPr>
        <w:t>/2015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C2885" w:rsidRPr="009756F4" w:rsidRDefault="00AC2885" w:rsidP="00AC28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L’offre doit comprendre  obligatoirement  une garantie de soumission d’un montant deux</w:t>
      </w:r>
      <w:r w:rsidRPr="009756F4">
        <w:rPr>
          <w:rFonts w:ascii="Times New Roman" w:hAnsi="Times New Roman"/>
          <w:iCs/>
          <w:sz w:val="24"/>
          <w:szCs w:val="24"/>
        </w:rPr>
        <w:t xml:space="preserve"> Million</w:t>
      </w:r>
      <w:r>
        <w:rPr>
          <w:rFonts w:ascii="Times New Roman" w:hAnsi="Times New Roman"/>
          <w:iCs/>
          <w:sz w:val="24"/>
          <w:szCs w:val="24"/>
        </w:rPr>
        <w:t xml:space="preserve">s(2.000.000) </w:t>
      </w:r>
      <w:r w:rsidRPr="009756F4">
        <w:rPr>
          <w:rFonts w:ascii="Times New Roman" w:hAnsi="Times New Roman"/>
          <w:iCs/>
          <w:sz w:val="24"/>
          <w:szCs w:val="24"/>
        </w:rPr>
        <w:t>Ouguiyas.</w:t>
      </w:r>
    </w:p>
    <w:p w:rsidR="00AC2885" w:rsidRPr="00874FCB" w:rsidRDefault="00AC2885" w:rsidP="00A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885" w:rsidRDefault="00AC2885" w:rsidP="00AC288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rester valide pendant cent vingt (120) jours à compter de la date limite de dépôt.</w:t>
      </w:r>
    </w:p>
    <w:p w:rsidR="00AC2885" w:rsidRDefault="00AC2885" w:rsidP="00A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885" w:rsidRDefault="00AC2885" w:rsidP="00A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AC2885" w:rsidRDefault="00AC2885" w:rsidP="00AC2885">
      <w:pPr>
        <w:ind w:left="360" w:hanging="360"/>
        <w:rPr>
          <w:rFonts w:ascii="Times New Roman" w:hAnsi="Times New Roman"/>
          <w:sz w:val="24"/>
          <w:szCs w:val="24"/>
        </w:rPr>
      </w:pPr>
    </w:p>
    <w:p w:rsidR="00AC2885" w:rsidRDefault="00AC2885" w:rsidP="00AC2885">
      <w:pPr>
        <w:ind w:left="360" w:hanging="360"/>
        <w:rPr>
          <w:rFonts w:ascii="Times New Roman" w:hAnsi="Times New Roman"/>
          <w:sz w:val="24"/>
          <w:szCs w:val="24"/>
        </w:rPr>
      </w:pPr>
    </w:p>
    <w:p w:rsidR="00AC2885" w:rsidRPr="00346511" w:rsidRDefault="00AC2885" w:rsidP="00AC288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46511"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AC2885" w:rsidRPr="00346511" w:rsidRDefault="00AC2885" w:rsidP="00AC2885">
      <w:pPr>
        <w:jc w:val="center"/>
        <w:rPr>
          <w:rFonts w:ascii="Times New Roman" w:hAnsi="Times New Roman"/>
          <w:iCs/>
          <w:sz w:val="24"/>
          <w:szCs w:val="24"/>
        </w:rPr>
      </w:pPr>
      <w:r w:rsidRPr="00346511"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AC2885" w:rsidRDefault="00AC2885" w:rsidP="00AC2885">
      <w:pPr>
        <w:ind w:left="360" w:hanging="360"/>
        <w:rPr>
          <w:rFonts w:ascii="Times New Roman" w:hAnsi="Times New Roman"/>
          <w:sz w:val="24"/>
          <w:szCs w:val="24"/>
        </w:rPr>
      </w:pPr>
    </w:p>
    <w:p w:rsidR="00F14320" w:rsidRDefault="00F14320"/>
    <w:sectPr w:rsidR="00F14320" w:rsidSect="0080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885"/>
    <w:rsid w:val="0080071C"/>
    <w:rsid w:val="00AC2885"/>
    <w:rsid w:val="00AF523E"/>
    <w:rsid w:val="00F1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8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AC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8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AC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2015-09-22T14:00:00Z</dcterms:created>
  <dcterms:modified xsi:type="dcterms:W3CDTF">2015-09-22T14:00:00Z</dcterms:modified>
</cp:coreProperties>
</file>