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8D" w:rsidRDefault="00F77D8D" w:rsidP="00F77D8D">
      <w:pPr>
        <w:pStyle w:val="BankNormal"/>
        <w:jc w:val="center"/>
        <w:rPr>
          <w:b/>
          <w:szCs w:val="24"/>
          <w:lang w:val="fr-FR"/>
        </w:rPr>
      </w:pPr>
    </w:p>
    <w:p w:rsidR="00F77D8D" w:rsidRDefault="00F77D8D" w:rsidP="00F77D8D">
      <w:pPr>
        <w:pStyle w:val="BankNormal"/>
        <w:jc w:val="center"/>
        <w:rPr>
          <w:b/>
          <w:sz w:val="20"/>
          <w:lang w:val="fr-FR"/>
        </w:rPr>
      </w:pPr>
      <w:r>
        <w:rPr>
          <w:b/>
          <w:bCs/>
          <w:sz w:val="20"/>
          <w:lang w:val="fr-FR"/>
        </w:rPr>
        <w:t xml:space="preserve">Avis de report </w:t>
      </w:r>
      <w:r>
        <w:rPr>
          <w:b/>
          <w:bCs/>
          <w:sz w:val="20"/>
          <w:lang w:val="fr-FR"/>
        </w:rPr>
        <w:t xml:space="preserve">de dépôt </w:t>
      </w:r>
      <w:r>
        <w:rPr>
          <w:b/>
          <w:bCs/>
          <w:sz w:val="20"/>
          <w:lang w:val="fr-FR"/>
        </w:rPr>
        <w:t>d’un DAON</w:t>
      </w:r>
    </w:p>
    <w:p w:rsidR="00F77D8D" w:rsidRDefault="00F77D8D" w:rsidP="00F77D8D">
      <w:pPr>
        <w:pStyle w:val="BankNormal"/>
        <w:jc w:val="center"/>
        <w:rPr>
          <w:b/>
          <w:sz w:val="20"/>
          <w:lang w:val="fr-FR"/>
        </w:rPr>
      </w:pPr>
      <w:r>
        <w:rPr>
          <w:b/>
          <w:sz w:val="20"/>
          <w:lang w:val="fr-FR"/>
        </w:rPr>
        <w:t>Programme de Développement Durable des Oasis (PDDO)</w:t>
      </w:r>
    </w:p>
    <w:p w:rsidR="00F77D8D" w:rsidRDefault="00F77D8D" w:rsidP="00F77D8D">
      <w:pPr>
        <w:jc w:val="center"/>
        <w:rPr>
          <w:rFonts w:ascii="Times New Roman" w:hAnsi="Times New Roman"/>
          <w:b/>
          <w:bCs/>
          <w:i/>
          <w:iCs/>
          <w:sz w:val="20"/>
          <w:szCs w:val="20"/>
        </w:rPr>
      </w:pPr>
      <w:r>
        <w:rPr>
          <w:rFonts w:ascii="Times New Roman" w:hAnsi="Times New Roman"/>
          <w:sz w:val="20"/>
          <w:szCs w:val="20"/>
          <w:u w:val="single"/>
        </w:rPr>
        <w:t>AAO N</w:t>
      </w:r>
      <w:r>
        <w:rPr>
          <w:rFonts w:ascii="Times New Roman" w:hAnsi="Times New Roman"/>
          <w:sz w:val="20"/>
          <w:szCs w:val="20"/>
          <w:u w:val="single"/>
          <w:vertAlign w:val="superscript"/>
        </w:rPr>
        <w:t xml:space="preserve">o : </w:t>
      </w:r>
      <w:r>
        <w:rPr>
          <w:rFonts w:ascii="Times New Roman" w:hAnsi="Times New Roman"/>
          <w:sz w:val="20"/>
          <w:szCs w:val="20"/>
          <w:u w:val="single"/>
        </w:rPr>
        <w:t>29</w:t>
      </w:r>
      <w:r>
        <w:rPr>
          <w:rFonts w:ascii="Times New Roman" w:hAnsi="Times New Roman"/>
          <w:sz w:val="20"/>
          <w:szCs w:val="20"/>
          <w:u w:val="single"/>
          <w:vertAlign w:val="superscript"/>
        </w:rPr>
        <w:t xml:space="preserve"> </w:t>
      </w:r>
      <w:r>
        <w:rPr>
          <w:rFonts w:ascii="Times New Roman" w:hAnsi="Times New Roman"/>
          <w:sz w:val="20"/>
          <w:szCs w:val="20"/>
          <w:u w:val="single"/>
        </w:rPr>
        <w:t>/CPMPSR/PDDO/2013</w:t>
      </w:r>
    </w:p>
    <w:p w:rsidR="00F77D8D" w:rsidRDefault="00F77D8D" w:rsidP="00F77D8D">
      <w:pPr>
        <w:numPr>
          <w:ilvl w:val="0"/>
          <w:numId w:val="22"/>
        </w:numPr>
        <w:spacing w:line="240" w:lineRule="auto"/>
        <w:ind w:left="284" w:firstLine="0"/>
        <w:jc w:val="both"/>
        <w:rPr>
          <w:rFonts w:ascii="Times New Roman" w:hAnsi="Times New Roman"/>
          <w:sz w:val="20"/>
          <w:szCs w:val="20"/>
        </w:rPr>
      </w:pPr>
      <w:r>
        <w:rPr>
          <w:rFonts w:ascii="Times New Roman" w:hAnsi="Times New Roman"/>
          <w:sz w:val="20"/>
          <w:szCs w:val="20"/>
        </w:rPr>
        <w:t xml:space="preserve"> Le PDDO a obtenu, dans le cadre de l’accord de don du Fonds Mondial pour l’Environnement (FEM), des fonds afin d’acquérir les quantités suivantes de gabions et géotextiles polyester non tissées :</w:t>
      </w:r>
    </w:p>
    <w:p w:rsidR="00F77D8D" w:rsidRDefault="00F77D8D" w:rsidP="00F77D8D">
      <w:pPr>
        <w:numPr>
          <w:ilvl w:val="0"/>
          <w:numId w:val="24"/>
        </w:numPr>
        <w:spacing w:line="240" w:lineRule="auto"/>
        <w:jc w:val="both"/>
        <w:rPr>
          <w:rFonts w:ascii="Times New Roman" w:hAnsi="Times New Roman"/>
          <w:sz w:val="20"/>
          <w:szCs w:val="20"/>
        </w:rPr>
      </w:pPr>
      <w:r>
        <w:rPr>
          <w:rFonts w:ascii="Times New Roman" w:hAnsi="Times New Roman"/>
          <w:sz w:val="20"/>
          <w:szCs w:val="20"/>
        </w:rPr>
        <w:t>Gabion de 2m</w:t>
      </w:r>
      <w:r>
        <w:rPr>
          <w:rFonts w:ascii="Times New Roman" w:hAnsi="Times New Roman"/>
          <w:sz w:val="20"/>
          <w:szCs w:val="20"/>
          <w:vertAlign w:val="superscript"/>
        </w:rPr>
        <w:t xml:space="preserve">3 </w:t>
      </w:r>
      <w:r>
        <w:rPr>
          <w:rFonts w:ascii="Times New Roman" w:hAnsi="Times New Roman"/>
          <w:sz w:val="20"/>
          <w:szCs w:val="20"/>
        </w:rPr>
        <w:t>(type 2x1x1)</w:t>
      </w:r>
      <w:r>
        <w:rPr>
          <w:rFonts w:ascii="Times New Roman" w:hAnsi="Times New Roman"/>
          <w:sz w:val="20"/>
          <w:szCs w:val="20"/>
          <w:vertAlign w:val="superscript"/>
        </w:rPr>
        <w:t> </w:t>
      </w:r>
      <w:r>
        <w:rPr>
          <w:rFonts w:ascii="Times New Roman" w:hAnsi="Times New Roman"/>
          <w:sz w:val="20"/>
          <w:szCs w:val="20"/>
        </w:rPr>
        <w:t>:                    796 UNITES</w:t>
      </w:r>
    </w:p>
    <w:p w:rsidR="00F77D8D" w:rsidRDefault="00F77D8D" w:rsidP="00F77D8D">
      <w:pPr>
        <w:numPr>
          <w:ilvl w:val="0"/>
          <w:numId w:val="24"/>
        </w:numPr>
        <w:spacing w:line="240" w:lineRule="auto"/>
        <w:jc w:val="both"/>
        <w:rPr>
          <w:rFonts w:ascii="Times New Roman" w:hAnsi="Times New Roman"/>
          <w:sz w:val="20"/>
          <w:szCs w:val="20"/>
        </w:rPr>
      </w:pPr>
      <w:r>
        <w:rPr>
          <w:rFonts w:ascii="Times New Roman" w:hAnsi="Times New Roman"/>
          <w:sz w:val="20"/>
          <w:szCs w:val="20"/>
        </w:rPr>
        <w:t>Gabion1 m</w:t>
      </w:r>
      <w:r>
        <w:rPr>
          <w:rFonts w:ascii="Times New Roman" w:hAnsi="Times New Roman"/>
          <w:sz w:val="20"/>
          <w:szCs w:val="20"/>
          <w:vertAlign w:val="superscript"/>
        </w:rPr>
        <w:t xml:space="preserve">3 </w:t>
      </w:r>
      <w:r>
        <w:rPr>
          <w:rFonts w:ascii="Times New Roman" w:hAnsi="Times New Roman"/>
          <w:sz w:val="20"/>
          <w:szCs w:val="20"/>
        </w:rPr>
        <w:t xml:space="preserve">(type2x1x0, 5) </w:t>
      </w:r>
      <w:r>
        <w:rPr>
          <w:rFonts w:ascii="Times New Roman" w:hAnsi="Times New Roman"/>
          <w:sz w:val="20"/>
          <w:szCs w:val="20"/>
          <w:vertAlign w:val="superscript"/>
        </w:rPr>
        <w:t xml:space="preserve">  </w:t>
      </w:r>
      <w:r>
        <w:rPr>
          <w:rFonts w:ascii="Times New Roman" w:hAnsi="Times New Roman"/>
          <w:sz w:val="20"/>
          <w:szCs w:val="20"/>
        </w:rPr>
        <w:t>:                     920 UNITES</w:t>
      </w:r>
    </w:p>
    <w:p w:rsidR="00F77D8D" w:rsidRDefault="00F77D8D" w:rsidP="00F77D8D">
      <w:pPr>
        <w:numPr>
          <w:ilvl w:val="0"/>
          <w:numId w:val="24"/>
        </w:numPr>
        <w:spacing w:line="240" w:lineRule="auto"/>
        <w:jc w:val="both"/>
        <w:rPr>
          <w:rFonts w:ascii="Times New Roman" w:hAnsi="Times New Roman"/>
          <w:sz w:val="20"/>
          <w:szCs w:val="20"/>
        </w:rPr>
      </w:pPr>
      <w:r>
        <w:rPr>
          <w:rFonts w:ascii="Times New Roman" w:hAnsi="Times New Roman"/>
          <w:sz w:val="20"/>
          <w:szCs w:val="20"/>
        </w:rPr>
        <w:t>Géotextile Polyester non tissé :                   3050 m</w:t>
      </w:r>
      <w:r>
        <w:rPr>
          <w:rFonts w:ascii="Times New Roman" w:hAnsi="Times New Roman"/>
          <w:sz w:val="20"/>
          <w:szCs w:val="20"/>
          <w:vertAlign w:val="superscript"/>
        </w:rPr>
        <w:t>2</w:t>
      </w:r>
    </w:p>
    <w:p w:rsidR="00F77D8D" w:rsidRDefault="00F77D8D" w:rsidP="00F77D8D">
      <w:pPr>
        <w:numPr>
          <w:ilvl w:val="0"/>
          <w:numId w:val="22"/>
        </w:numPr>
        <w:spacing w:line="240" w:lineRule="auto"/>
        <w:ind w:left="284" w:firstLine="0"/>
        <w:jc w:val="both"/>
        <w:rPr>
          <w:rFonts w:ascii="Times New Roman" w:hAnsi="Times New Roman"/>
          <w:sz w:val="20"/>
          <w:szCs w:val="20"/>
        </w:rPr>
      </w:pPr>
      <w:r>
        <w:rPr>
          <w:rFonts w:ascii="Times New Roman" w:hAnsi="Times New Roman"/>
          <w:sz w:val="20"/>
          <w:szCs w:val="20"/>
        </w:rPr>
        <w:t>Le PDDO sollicite des offres sous plis fermés de la part des candidats éligibles et répondant aux qualifications requises pour fournir le gabion et le géotextile avec les quantités demandées et les spécifications indiquées.</w:t>
      </w:r>
    </w:p>
    <w:p w:rsidR="00F77D8D" w:rsidRDefault="00F77D8D" w:rsidP="00F77D8D">
      <w:pPr>
        <w:numPr>
          <w:ilvl w:val="0"/>
          <w:numId w:val="22"/>
        </w:numPr>
        <w:spacing w:line="240" w:lineRule="auto"/>
        <w:ind w:left="284" w:firstLine="0"/>
        <w:jc w:val="both"/>
        <w:rPr>
          <w:rFonts w:ascii="Times New Roman" w:hAnsi="Times New Roman"/>
          <w:sz w:val="20"/>
          <w:szCs w:val="20"/>
        </w:rPr>
      </w:pPr>
      <w:r>
        <w:rPr>
          <w:rFonts w:ascii="Times New Roman" w:hAnsi="Times New Roman"/>
          <w:sz w:val="20"/>
          <w:szCs w:val="20"/>
        </w:rPr>
        <w:t xml:space="preserve">La passation du Marché sera conduite par Appel d’offres ouvert, tel que défini par la loi 2010-044 du 22/07/2010 portant Code des Marchés publics et ses textes d’application. </w:t>
      </w:r>
    </w:p>
    <w:p w:rsidR="00F77D8D" w:rsidRDefault="00F77D8D" w:rsidP="00F77D8D">
      <w:pPr>
        <w:numPr>
          <w:ilvl w:val="0"/>
          <w:numId w:val="22"/>
        </w:numPr>
        <w:spacing w:line="240" w:lineRule="auto"/>
        <w:ind w:left="284" w:firstLine="0"/>
        <w:jc w:val="both"/>
        <w:rPr>
          <w:rFonts w:ascii="Times New Roman" w:hAnsi="Times New Roman"/>
          <w:sz w:val="20"/>
          <w:szCs w:val="20"/>
        </w:rPr>
      </w:pPr>
      <w:r>
        <w:rPr>
          <w:rFonts w:ascii="Times New Roman" w:hAnsi="Times New Roman"/>
          <w:sz w:val="20"/>
          <w:szCs w:val="20"/>
        </w:rPr>
        <w:t>Les candidats intéressés peuvent obtenir des informations auprès du Secrétariat de la Direction du Programme de Développement Durables des Oasis (PDDO) Tel.  : 22 62 31 24; 22 23 29 08 et prendre connaissance des documents d’Appel d’offres à l’adresse mentionnée ci-après : PDDO_ Zone industrielle    Nouakchott-El Mina en face de la foire nationale,de 9 heures à 15 heures tous les jours ouvrables.</w:t>
      </w:r>
    </w:p>
    <w:p w:rsidR="00F77D8D" w:rsidRDefault="00F77D8D" w:rsidP="00F77D8D">
      <w:pPr>
        <w:numPr>
          <w:ilvl w:val="0"/>
          <w:numId w:val="22"/>
        </w:numPr>
        <w:spacing w:line="240" w:lineRule="auto"/>
        <w:ind w:left="284" w:firstLine="0"/>
        <w:jc w:val="both"/>
        <w:rPr>
          <w:rFonts w:ascii="Times New Roman" w:hAnsi="Times New Roman"/>
          <w:sz w:val="20"/>
          <w:szCs w:val="20"/>
        </w:rPr>
      </w:pPr>
      <w:r>
        <w:rPr>
          <w:rFonts w:ascii="Times New Roman" w:hAnsi="Times New Roman"/>
          <w:sz w:val="20"/>
          <w:szCs w:val="20"/>
        </w:rPr>
        <w:t xml:space="preserve">Les candidats intéressés peuvent consulter, gratuitement, le dossier d’Appel d’offres complet ou l’obtenir en formulant une demande écrite à l’adresse mentionnée ci-après : Direction du Programme de Développement Durable des Oasis : </w:t>
      </w:r>
      <w:r>
        <w:rPr>
          <w:rFonts w:ascii="Times New Roman" w:hAnsi="Times New Roman"/>
          <w:b/>
          <w:bCs/>
          <w:sz w:val="20"/>
          <w:szCs w:val="20"/>
        </w:rPr>
        <w:t xml:space="preserve">PDDO Zone Industrielle    Nouakchott-El Mina </w:t>
      </w:r>
      <w:r>
        <w:rPr>
          <w:rFonts w:ascii="Times New Roman" w:hAnsi="Times New Roman"/>
          <w:sz w:val="20"/>
          <w:szCs w:val="20"/>
        </w:rPr>
        <w:t xml:space="preserve">Nouakchott, Mauritanie ;  Tel : 22 62 31 24 ou 22 23 29 08 de </w:t>
      </w:r>
      <w:r>
        <w:rPr>
          <w:rFonts w:ascii="Times New Roman" w:hAnsi="Times New Roman"/>
          <w:iCs/>
          <w:sz w:val="20"/>
          <w:szCs w:val="20"/>
        </w:rPr>
        <w:t>9 heures à15 heures tous les jours ouvrables</w:t>
      </w:r>
      <w:r>
        <w:rPr>
          <w:rFonts w:ascii="Times New Roman" w:hAnsi="Times New Roman"/>
          <w:sz w:val="20"/>
          <w:szCs w:val="20"/>
        </w:rPr>
        <w:t xml:space="preserve"> contre le paiement, non remboursable, au </w:t>
      </w:r>
      <w:r>
        <w:rPr>
          <w:rFonts w:ascii="Times New Roman" w:hAnsi="Times New Roman"/>
          <w:b/>
          <w:sz w:val="20"/>
          <w:szCs w:val="20"/>
        </w:rPr>
        <w:t xml:space="preserve">Trésor Public exclusivement </w:t>
      </w:r>
      <w:r>
        <w:rPr>
          <w:rFonts w:ascii="Times New Roman" w:hAnsi="Times New Roman"/>
          <w:sz w:val="20"/>
          <w:szCs w:val="20"/>
        </w:rPr>
        <w:t xml:space="preserve">d’un montant de </w:t>
      </w:r>
      <w:r>
        <w:rPr>
          <w:rFonts w:ascii="Times New Roman" w:hAnsi="Times New Roman"/>
          <w:iCs/>
          <w:sz w:val="20"/>
          <w:szCs w:val="20"/>
        </w:rPr>
        <w:t>trente mille (30 000) ouguiyas.</w:t>
      </w:r>
    </w:p>
    <w:p w:rsidR="00F77D8D" w:rsidRDefault="00F77D8D" w:rsidP="00F77D8D">
      <w:pPr>
        <w:numPr>
          <w:ilvl w:val="0"/>
          <w:numId w:val="22"/>
        </w:numPr>
        <w:suppressAutoHyphens/>
        <w:spacing w:after="0" w:line="240" w:lineRule="auto"/>
        <w:ind w:left="284" w:firstLine="0"/>
        <w:rPr>
          <w:rFonts w:ascii="Times New Roman" w:hAnsi="Times New Roman"/>
          <w:sz w:val="20"/>
          <w:szCs w:val="20"/>
        </w:rPr>
      </w:pPr>
      <w:r>
        <w:rPr>
          <w:rFonts w:ascii="Times New Roman" w:hAnsi="Times New Roman"/>
          <w:sz w:val="20"/>
          <w:szCs w:val="20"/>
        </w:rPr>
        <w:t xml:space="preserve">Les offres devront être remises à l’adresse ci-après : </w:t>
      </w:r>
      <w:r>
        <w:rPr>
          <w:rFonts w:ascii="Times New Roman" w:hAnsi="Times New Roman"/>
          <w:b/>
          <w:sz w:val="20"/>
          <w:szCs w:val="20"/>
        </w:rPr>
        <w:t>Commission de Passation des Marchés  Publicsdu Secteur Rural (CPMPSR), Avenue Me Moctar Ould Daddah, Tevragh Zeina«Immeuble El Mouna   2</w:t>
      </w:r>
      <w:r>
        <w:rPr>
          <w:rFonts w:ascii="Times New Roman" w:hAnsi="Times New Roman"/>
          <w:b/>
          <w:sz w:val="20"/>
          <w:szCs w:val="20"/>
          <w:vertAlign w:val="superscript"/>
        </w:rPr>
        <w:t xml:space="preserve">éme </w:t>
      </w:r>
      <w:r>
        <w:rPr>
          <w:rFonts w:ascii="Times New Roman" w:hAnsi="Times New Roman"/>
          <w:b/>
          <w:sz w:val="20"/>
          <w:szCs w:val="20"/>
        </w:rPr>
        <w:t>Etage » Nouakchott, émail : cpmpsr.com plus tard le 14/10 / 2013 à 10 heures TU</w:t>
      </w:r>
      <w:r>
        <w:rPr>
          <w:rFonts w:ascii="Times New Roman" w:hAnsi="Times New Roman"/>
          <w:b/>
          <w:sz w:val="20"/>
          <w:szCs w:val="20"/>
        </w:rPr>
        <w:t xml:space="preserve"> au lieu de 07/10/2013 à 10 heures</w:t>
      </w:r>
      <w:r>
        <w:rPr>
          <w:rFonts w:ascii="Times New Roman" w:hAnsi="Times New Roman"/>
          <w:sz w:val="20"/>
          <w:szCs w:val="20"/>
        </w:rPr>
        <w:t xml:space="preserve">. </w:t>
      </w:r>
    </w:p>
    <w:p w:rsidR="00F77D8D" w:rsidRDefault="00F77D8D" w:rsidP="00F77D8D">
      <w:pPr>
        <w:suppressAutoHyphens/>
        <w:spacing w:after="0" w:line="240" w:lineRule="auto"/>
        <w:ind w:left="284"/>
        <w:rPr>
          <w:rFonts w:ascii="Times New Roman" w:hAnsi="Times New Roman"/>
          <w:sz w:val="20"/>
          <w:szCs w:val="20"/>
        </w:rPr>
      </w:pPr>
    </w:p>
    <w:p w:rsidR="00F77D8D" w:rsidRDefault="00F77D8D" w:rsidP="00F77D8D">
      <w:pPr>
        <w:suppressAutoHyphens/>
        <w:spacing w:after="0" w:line="240" w:lineRule="auto"/>
        <w:ind w:left="284"/>
        <w:rPr>
          <w:rFonts w:ascii="Times New Roman" w:hAnsi="Times New Roman"/>
          <w:iCs/>
          <w:sz w:val="20"/>
          <w:szCs w:val="20"/>
        </w:rPr>
      </w:pPr>
      <w:r>
        <w:rPr>
          <w:rFonts w:ascii="Times New Roman" w:hAnsi="Times New Roman"/>
          <w:sz w:val="20"/>
          <w:szCs w:val="20"/>
        </w:rPr>
        <w:lastRenderedPageBreak/>
        <w:t>Les offres remises en retard ne seront pas acceptées. Les offres seront ouvertes en présence des représentants des candidats présents à l’adresse ci-dessus le </w:t>
      </w:r>
      <w:r>
        <w:rPr>
          <w:rFonts w:ascii="Times New Roman" w:hAnsi="Times New Roman"/>
          <w:b/>
          <w:bCs/>
          <w:sz w:val="20"/>
          <w:szCs w:val="20"/>
        </w:rPr>
        <w:t>14/10/ 2013 à 10</w:t>
      </w:r>
      <w:r>
        <w:rPr>
          <w:rFonts w:ascii="Times New Roman" w:hAnsi="Times New Roman"/>
          <w:sz w:val="20"/>
          <w:szCs w:val="20"/>
        </w:rPr>
        <w:t xml:space="preserve"> heures TU. Les offres doivent comprendre </w:t>
      </w:r>
      <w:r>
        <w:rPr>
          <w:rFonts w:ascii="Times New Roman" w:hAnsi="Times New Roman"/>
          <w:iCs/>
          <w:sz w:val="20"/>
          <w:szCs w:val="20"/>
        </w:rPr>
        <w:t>une garantie de soumission</w:t>
      </w:r>
      <w:r>
        <w:rPr>
          <w:rFonts w:ascii="Times New Roman" w:hAnsi="Times New Roman"/>
          <w:sz w:val="20"/>
          <w:szCs w:val="20"/>
        </w:rPr>
        <w:t xml:space="preserve"> d’un montant de 600.000</w:t>
      </w:r>
      <w:r>
        <w:rPr>
          <w:rFonts w:ascii="Times New Roman" w:hAnsi="Times New Roman"/>
          <w:iCs/>
          <w:sz w:val="20"/>
          <w:szCs w:val="20"/>
        </w:rPr>
        <w:t xml:space="preserve"> Ouguiya. Les offres devront demeurer valides pendant une durée de quatre vingt dix (90)  jours à compter de la date limite de leur dépôt.</w:t>
      </w:r>
    </w:p>
    <w:p w:rsidR="00F77D8D" w:rsidRDefault="00F77D8D" w:rsidP="00F77D8D">
      <w:pPr>
        <w:suppressAutoHyphens/>
        <w:spacing w:after="0" w:line="240" w:lineRule="auto"/>
        <w:ind w:left="284"/>
        <w:rPr>
          <w:rFonts w:ascii="Times New Roman" w:hAnsi="Times New Roman"/>
          <w:iCs/>
          <w:sz w:val="20"/>
          <w:szCs w:val="20"/>
        </w:rPr>
      </w:pPr>
    </w:p>
    <w:p w:rsidR="00F77D8D" w:rsidRDefault="00F77D8D" w:rsidP="00F11768">
      <w:pPr>
        <w:rPr>
          <w:rFonts w:ascii="Times New Roman" w:hAnsi="Times New Roman"/>
          <w:b/>
          <w:bCs/>
          <w:i/>
          <w:iCs/>
          <w:sz w:val="20"/>
          <w:szCs w:val="20"/>
        </w:rPr>
      </w:pPr>
      <w:r>
        <w:rPr>
          <w:rFonts w:ascii="Times New Roman" w:hAnsi="Times New Roman"/>
          <w:iCs/>
          <w:sz w:val="20"/>
          <w:szCs w:val="20"/>
        </w:rPr>
        <w:t>Les soumissionnaires qui ont déjà achetés le DAON doivent être passés au PDDO pour récupérer la version</w:t>
      </w:r>
      <w:bookmarkStart w:id="0" w:name="_GoBack"/>
      <w:bookmarkEnd w:id="0"/>
      <w:r>
        <w:rPr>
          <w:rFonts w:ascii="Times New Roman" w:hAnsi="Times New Roman"/>
          <w:iCs/>
          <w:sz w:val="20"/>
          <w:szCs w:val="20"/>
        </w:rPr>
        <w:t xml:space="preserve"> définitive DAON n°</w:t>
      </w:r>
      <w:r>
        <w:rPr>
          <w:rFonts w:ascii="Times New Roman" w:hAnsi="Times New Roman"/>
          <w:sz w:val="20"/>
          <w:szCs w:val="20"/>
          <w:u w:val="single"/>
        </w:rPr>
        <w:t xml:space="preserve"> </w:t>
      </w:r>
      <w:r>
        <w:rPr>
          <w:rFonts w:ascii="Times New Roman" w:hAnsi="Times New Roman"/>
          <w:sz w:val="20"/>
          <w:szCs w:val="20"/>
        </w:rPr>
        <w:t>29</w:t>
      </w:r>
      <w:r>
        <w:rPr>
          <w:rFonts w:ascii="Times New Roman" w:hAnsi="Times New Roman"/>
          <w:sz w:val="20"/>
          <w:szCs w:val="20"/>
          <w:vertAlign w:val="superscript"/>
        </w:rPr>
        <w:t xml:space="preserve"> </w:t>
      </w:r>
      <w:r>
        <w:rPr>
          <w:rFonts w:ascii="Times New Roman" w:hAnsi="Times New Roman"/>
          <w:sz w:val="20"/>
          <w:szCs w:val="20"/>
        </w:rPr>
        <w:t>/CPMPSR/PDDO/2013.</w:t>
      </w:r>
    </w:p>
    <w:p w:rsidR="00F77D8D" w:rsidRDefault="00F77D8D" w:rsidP="00F77D8D">
      <w:pPr>
        <w:suppressAutoHyphens/>
        <w:spacing w:after="0" w:line="240" w:lineRule="auto"/>
        <w:ind w:left="284"/>
        <w:rPr>
          <w:rFonts w:ascii="Times New Roman" w:hAnsi="Times New Roman"/>
          <w:iCs/>
          <w:sz w:val="20"/>
          <w:szCs w:val="20"/>
        </w:rPr>
      </w:pPr>
    </w:p>
    <w:p w:rsidR="00F77D8D" w:rsidRDefault="00F77D8D" w:rsidP="00F77D8D">
      <w:pPr>
        <w:suppressAutoHyphens/>
        <w:spacing w:after="0" w:line="240" w:lineRule="auto"/>
        <w:ind w:left="284"/>
        <w:rPr>
          <w:rFonts w:ascii="Times New Roman" w:hAnsi="Times New Roman"/>
          <w:iCs/>
          <w:sz w:val="20"/>
          <w:szCs w:val="20"/>
        </w:rPr>
      </w:pPr>
    </w:p>
    <w:p w:rsidR="00F77D8D" w:rsidRDefault="00F77D8D" w:rsidP="00F77D8D">
      <w:pPr>
        <w:suppressAutoHyphens/>
        <w:spacing w:after="0" w:line="240" w:lineRule="auto"/>
        <w:ind w:left="284"/>
        <w:jc w:val="right"/>
        <w:rPr>
          <w:rFonts w:ascii="Times New Roman" w:hAnsi="Times New Roman"/>
          <w:b/>
          <w:iCs/>
          <w:sz w:val="20"/>
          <w:szCs w:val="20"/>
        </w:rPr>
      </w:pPr>
      <w:r>
        <w:rPr>
          <w:rFonts w:ascii="Times New Roman" w:hAnsi="Times New Roman"/>
          <w:b/>
          <w:iCs/>
          <w:sz w:val="20"/>
          <w:szCs w:val="20"/>
        </w:rPr>
        <w:t xml:space="preserve">Le  Secrétaire Général </w:t>
      </w:r>
    </w:p>
    <w:p w:rsidR="00F77D8D" w:rsidRDefault="00F77D8D" w:rsidP="00F77D8D">
      <w:pPr>
        <w:suppressAutoHyphens/>
        <w:spacing w:after="0" w:line="240" w:lineRule="auto"/>
        <w:ind w:left="284"/>
        <w:jc w:val="right"/>
        <w:rPr>
          <w:rFonts w:ascii="Times New Roman" w:hAnsi="Times New Roman"/>
          <w:b/>
          <w:iCs/>
          <w:sz w:val="20"/>
          <w:szCs w:val="20"/>
        </w:rPr>
      </w:pPr>
      <w:r>
        <w:rPr>
          <w:rFonts w:ascii="Times New Roman" w:hAnsi="Times New Roman"/>
          <w:b/>
          <w:iCs/>
          <w:sz w:val="20"/>
          <w:szCs w:val="20"/>
        </w:rPr>
        <w:t>Mohamed ould AHMED AIDA</w:t>
      </w:r>
    </w:p>
    <w:p w:rsidR="001A03F2" w:rsidRPr="00064766" w:rsidRDefault="001A03F2" w:rsidP="00064766"/>
    <w:sectPr w:rsidR="001A03F2" w:rsidRPr="00064766" w:rsidSect="000A33C5">
      <w:pgSz w:w="15840" w:h="12240" w:orient="landscape"/>
      <w:pgMar w:top="1720" w:right="1797" w:bottom="1720" w:left="280" w:header="1388"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4F" w:rsidRDefault="0093004F" w:rsidP="00CE6E90">
      <w:pPr>
        <w:spacing w:after="0" w:line="240" w:lineRule="auto"/>
      </w:pPr>
      <w:r>
        <w:separator/>
      </w:r>
    </w:p>
  </w:endnote>
  <w:endnote w:type="continuationSeparator" w:id="0">
    <w:p w:rsidR="0093004F" w:rsidRDefault="0093004F"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4F" w:rsidRDefault="0093004F" w:rsidP="00CE6E90">
      <w:pPr>
        <w:spacing w:after="0" w:line="240" w:lineRule="auto"/>
      </w:pPr>
      <w:r>
        <w:separator/>
      </w:r>
    </w:p>
  </w:footnote>
  <w:footnote w:type="continuationSeparator" w:id="0">
    <w:p w:rsidR="0093004F" w:rsidRDefault="0093004F"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9">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0">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2">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4">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5">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7">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766"/>
    <w:rsid w:val="00064C14"/>
    <w:rsid w:val="000803F9"/>
    <w:rsid w:val="000825B0"/>
    <w:rsid w:val="0009235F"/>
    <w:rsid w:val="000A33C5"/>
    <w:rsid w:val="000C5EE2"/>
    <w:rsid w:val="000E113D"/>
    <w:rsid w:val="000F1A82"/>
    <w:rsid w:val="00106826"/>
    <w:rsid w:val="001429BF"/>
    <w:rsid w:val="001456CB"/>
    <w:rsid w:val="0017728F"/>
    <w:rsid w:val="001779E2"/>
    <w:rsid w:val="00185250"/>
    <w:rsid w:val="001A03F2"/>
    <w:rsid w:val="001A6BF8"/>
    <w:rsid w:val="001B48CA"/>
    <w:rsid w:val="001D7F0A"/>
    <w:rsid w:val="001E1724"/>
    <w:rsid w:val="001F7929"/>
    <w:rsid w:val="0020111D"/>
    <w:rsid w:val="00202D1A"/>
    <w:rsid w:val="002030AE"/>
    <w:rsid w:val="00204AAC"/>
    <w:rsid w:val="00247FB4"/>
    <w:rsid w:val="002556BB"/>
    <w:rsid w:val="00264F68"/>
    <w:rsid w:val="0027765D"/>
    <w:rsid w:val="0029448B"/>
    <w:rsid w:val="002A7DBE"/>
    <w:rsid w:val="002B08B7"/>
    <w:rsid w:val="002C040B"/>
    <w:rsid w:val="002E50D2"/>
    <w:rsid w:val="002F75AF"/>
    <w:rsid w:val="00315131"/>
    <w:rsid w:val="00336FB0"/>
    <w:rsid w:val="00343358"/>
    <w:rsid w:val="00365DEB"/>
    <w:rsid w:val="00397C07"/>
    <w:rsid w:val="003B38AD"/>
    <w:rsid w:val="003E14F5"/>
    <w:rsid w:val="003E34A2"/>
    <w:rsid w:val="003F3157"/>
    <w:rsid w:val="00434D50"/>
    <w:rsid w:val="004631DC"/>
    <w:rsid w:val="00464921"/>
    <w:rsid w:val="004A1DA0"/>
    <w:rsid w:val="004A5283"/>
    <w:rsid w:val="004A70F0"/>
    <w:rsid w:val="004E0C01"/>
    <w:rsid w:val="00524403"/>
    <w:rsid w:val="00532C19"/>
    <w:rsid w:val="0056204E"/>
    <w:rsid w:val="0056746F"/>
    <w:rsid w:val="00567F05"/>
    <w:rsid w:val="00576039"/>
    <w:rsid w:val="005847AD"/>
    <w:rsid w:val="005A3FE1"/>
    <w:rsid w:val="005B7CB8"/>
    <w:rsid w:val="005D64F3"/>
    <w:rsid w:val="005E5918"/>
    <w:rsid w:val="00631BC0"/>
    <w:rsid w:val="00656242"/>
    <w:rsid w:val="006778AA"/>
    <w:rsid w:val="006904CA"/>
    <w:rsid w:val="00697DDB"/>
    <w:rsid w:val="006A5E40"/>
    <w:rsid w:val="007104CD"/>
    <w:rsid w:val="007334E8"/>
    <w:rsid w:val="00735747"/>
    <w:rsid w:val="00735AAB"/>
    <w:rsid w:val="00740E5F"/>
    <w:rsid w:val="0077743E"/>
    <w:rsid w:val="00786FC0"/>
    <w:rsid w:val="00795DDB"/>
    <w:rsid w:val="007B1ADF"/>
    <w:rsid w:val="007D696D"/>
    <w:rsid w:val="007E2823"/>
    <w:rsid w:val="007E7CC0"/>
    <w:rsid w:val="00800363"/>
    <w:rsid w:val="0086186B"/>
    <w:rsid w:val="00876C52"/>
    <w:rsid w:val="00882AB6"/>
    <w:rsid w:val="008875E3"/>
    <w:rsid w:val="008C1629"/>
    <w:rsid w:val="008D48D7"/>
    <w:rsid w:val="008E5349"/>
    <w:rsid w:val="009025F3"/>
    <w:rsid w:val="009114B6"/>
    <w:rsid w:val="009122BC"/>
    <w:rsid w:val="00913BAF"/>
    <w:rsid w:val="0093004F"/>
    <w:rsid w:val="00970B55"/>
    <w:rsid w:val="009C1D0E"/>
    <w:rsid w:val="009E70DC"/>
    <w:rsid w:val="00A15175"/>
    <w:rsid w:val="00A54A58"/>
    <w:rsid w:val="00A856CE"/>
    <w:rsid w:val="00AB28B7"/>
    <w:rsid w:val="00AB7F1D"/>
    <w:rsid w:val="00AC549C"/>
    <w:rsid w:val="00AD38D6"/>
    <w:rsid w:val="00B00FB5"/>
    <w:rsid w:val="00B4617E"/>
    <w:rsid w:val="00B549D6"/>
    <w:rsid w:val="00BC42E1"/>
    <w:rsid w:val="00C10A2F"/>
    <w:rsid w:val="00C12F1E"/>
    <w:rsid w:val="00C23E7B"/>
    <w:rsid w:val="00C7642E"/>
    <w:rsid w:val="00C77C72"/>
    <w:rsid w:val="00C85222"/>
    <w:rsid w:val="00CE06B7"/>
    <w:rsid w:val="00CE6E90"/>
    <w:rsid w:val="00D030ED"/>
    <w:rsid w:val="00D103B4"/>
    <w:rsid w:val="00D339B4"/>
    <w:rsid w:val="00D36C53"/>
    <w:rsid w:val="00D643EF"/>
    <w:rsid w:val="00D7460C"/>
    <w:rsid w:val="00DA268E"/>
    <w:rsid w:val="00DD7E67"/>
    <w:rsid w:val="00E22792"/>
    <w:rsid w:val="00E37303"/>
    <w:rsid w:val="00E50B74"/>
    <w:rsid w:val="00E6503A"/>
    <w:rsid w:val="00E676DF"/>
    <w:rsid w:val="00E72013"/>
    <w:rsid w:val="00E90057"/>
    <w:rsid w:val="00EA0D72"/>
    <w:rsid w:val="00EA6A7E"/>
    <w:rsid w:val="00EC02BB"/>
    <w:rsid w:val="00EE3CEF"/>
    <w:rsid w:val="00EF2106"/>
    <w:rsid w:val="00EF6370"/>
    <w:rsid w:val="00F11768"/>
    <w:rsid w:val="00F17745"/>
    <w:rsid w:val="00F63EC8"/>
    <w:rsid w:val="00F77D8D"/>
    <w:rsid w:val="00F85A7F"/>
    <w:rsid w:val="00FB0B4F"/>
    <w:rsid w:val="00FB7745"/>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semiHidden/>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A810-92E0-4CDA-BFEE-6C8375AC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23</cp:revision>
  <cp:lastPrinted>2013-05-13T12:12:00Z</cp:lastPrinted>
  <dcterms:created xsi:type="dcterms:W3CDTF">2012-10-15T12:07:00Z</dcterms:created>
  <dcterms:modified xsi:type="dcterms:W3CDTF">2013-10-06T15:19:00Z</dcterms:modified>
</cp:coreProperties>
</file>